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40" w:lineRule="exact"/>
        <w:ind w:right="6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</w:rPr>
        <w:t>附件1</w:t>
      </w:r>
      <w:r>
        <w:rPr>
          <w:rFonts w:hint="eastAsia" w:eastAsia="仿宋_GB2312"/>
          <w:kern w:val="0"/>
          <w:sz w:val="30"/>
          <w:szCs w:val="30"/>
          <w:lang w:eastAsia="zh-CN"/>
        </w:rPr>
        <w:t>：</w:t>
      </w:r>
    </w:p>
    <w:p>
      <w:pPr>
        <w:adjustRightInd w:val="0"/>
        <w:snapToGrid w:val="0"/>
        <w:spacing w:line="540" w:lineRule="exact"/>
        <w:jc w:val="center"/>
        <w:rPr>
          <w:rFonts w:hint="eastAsia" w:ascii="宋体" w:hAnsi="宋体" w:eastAsia="宋体" w:cs="宋体"/>
          <w:b/>
          <w:bCs w:val="0"/>
          <w:color w:val="auto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lang w:eastAsia="zh-CN"/>
        </w:rPr>
        <w:t>“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校园危机事件应对能力提升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lang w:eastAsia="zh-CN"/>
        </w:rPr>
        <w:t>”</w:t>
      </w:r>
    </w:p>
    <w:p>
      <w:pPr>
        <w:adjustRightInd w:val="0"/>
        <w:snapToGrid w:val="0"/>
        <w:spacing w:line="540" w:lineRule="exact"/>
        <w:jc w:val="center"/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专题培训班名额分配表</w:t>
      </w:r>
    </w:p>
    <w:p>
      <w:pPr>
        <w:spacing w:line="500" w:lineRule="exact"/>
        <w:ind w:left="1256" w:hanging="1256"/>
        <w:jc w:val="center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</w:rPr>
        <w:t>西北师范大学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中心  120人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）</w:t>
      </w:r>
    </w:p>
    <w:p>
      <w:pPr>
        <w:spacing w:line="500" w:lineRule="exact"/>
        <w:ind w:left="1256" w:hanging="1256"/>
        <w:jc w:val="center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spacing w:line="500" w:lineRule="exact"/>
        <w:ind w:left="1256" w:hanging="1256"/>
        <w:jc w:val="left"/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部属高校及部省合建高校名额分配（每所高校1个名额）：</w:t>
      </w:r>
    </w:p>
    <w:p>
      <w:pPr>
        <w:spacing w:line="500" w:lineRule="exact"/>
        <w:jc w:val="left"/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</w:rPr>
        <w:t>中国人民大学、中国农业大学、北京航空航天大学、中央民族大学、北京外国语大学、北京语言大学、北京化工大学、北京交通大学、北京邮电大学、中国地质大学（北京）、中国矿业大学（北京）、中国石油大学（北京）、北京林业大学、中央财经大学、中国政法大学、中央音乐学院、中央美术学院、北京中医药大学、对外经济贸易大学、华北电力大学、南开大学、大连理工大学、大连民族大学、大连海事大学、吉林大学、哈尔滨工业大学、东北林业大学、哈尔滨工程大学、复旦大学、同济大学、东华大学、上海外国语大学、上海财经大学、南京大学、中国矿业大学、河海大学、江南大学、中国药科大学、南京理工大学、南京航空航天大学、合肥工业大学、厦门大学、中国海洋大学、中国石油大学（华东）、武汉大学、中国地质大学（武汉）、武汉理工大学、华中农业大学、中南财经政法大学、中南民族大学、中南大学、华南理工大学、西南大学、西南交通大学、西安交通大学、西北工业大学、西安电子科技大学、兰州大学、西北民族大学、北方民族大学、郑州大学、山西大学、广西大学、贵州大学、云南大学、暨南大学</w:t>
      </w:r>
    </w:p>
    <w:p>
      <w:pPr>
        <w:spacing w:line="500" w:lineRule="exact"/>
        <w:ind w:left="1256" w:hanging="1256"/>
        <w:jc w:val="left"/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auto"/>
          <w:kern w:val="0"/>
          <w:sz w:val="28"/>
          <w:szCs w:val="28"/>
        </w:rPr>
        <w:t>省属高校名额分配：</w:t>
      </w:r>
    </w:p>
    <w:tbl>
      <w:tblPr>
        <w:tblStyle w:val="2"/>
        <w:tblW w:w="85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23"/>
        <w:gridCol w:w="1423"/>
        <w:gridCol w:w="1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  <w:t>名  额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  <w:t>省  份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kern w:val="0"/>
                <w:sz w:val="28"/>
                <w:szCs w:val="28"/>
              </w:rPr>
              <w:t>名  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北京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安徽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四川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天津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福建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贵州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河北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江西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云南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山西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山东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西藏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内蒙古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河南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青海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辽宁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湖北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陕西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吉林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湖南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甘肃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黑龙江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广东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宁夏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上海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广西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新疆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江苏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海南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兵团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浙江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重庆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jhlNTk0NDllMzM4NGExMGEyMDY5OGI2MDk2MmMifQ=="/>
  </w:docVars>
  <w:rsids>
    <w:rsidRoot w:val="00000000"/>
    <w:rsid w:val="3517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2023-09-13T02:25:40Z</dcterms:created>
  <dc:creator>ADMIN</dc:creator>
  <cp:lastModifiedBy>stand up</cp:lastModifiedBy>
  <dcterms:modified xsi:type="dcterms:W3CDTF">2023-09-13T02:26:15Z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DEEAF1FF9DF2423A8B4CCB9E967E0A4A_12</vt:lpwstr>
  </property>
</Properties>
</file>